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tabs>
          <w:tab w:val="left" w:pos="458"/>
        </w:tabs>
        <w:spacing w:line="208" w:lineRule="auto"/>
        <w:ind w:right="731"/>
        <w:contextualSpacing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widowControl w:val="0"/>
        <w:tabs>
          <w:tab w:val="left" w:pos="458"/>
        </w:tabs>
        <w:spacing w:line="208" w:lineRule="auto"/>
        <w:ind w:right="731"/>
        <w:contextualSpacing w:val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Induction Day Agenda</w:t>
      </w:r>
    </w:p>
    <w:p w:rsidR="00000000" w:rsidDel="00000000" w:rsidP="00000000" w:rsidRDefault="00000000" w:rsidRPr="00000000">
      <w:pPr>
        <w:widowControl w:val="0"/>
        <w:tabs>
          <w:tab w:val="left" w:pos="458"/>
        </w:tabs>
        <w:spacing w:line="208" w:lineRule="auto"/>
        <w:ind w:right="731"/>
        <w:contextualSpacing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785"/>
        <w:gridCol w:w="7260"/>
        <w:tblGridChange w:id="0">
          <w:tblGrid>
            <w:gridCol w:w="1785"/>
            <w:gridCol w:w="7260"/>
          </w:tblGrid>
        </w:tblGridChange>
      </w:tblGrid>
      <w:tr>
        <w:trPr>
          <w:trHeight w:val="500" w:hRule="atLeast"/>
        </w:trPr>
        <w:tc>
          <w:tcPr>
            <w:tcBorders>
              <w:bottom w:color="f79646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b w:val="1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14042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tcBorders>
              <w:bottom w:color="f79646" w:space="0" w:sz="4" w:val="single"/>
            </w:tcBorders>
            <w:shd w:fill="fbd5b5" w:val="clear"/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b w:val="1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14042"/>
                <w:sz w:val="24"/>
                <w:szCs w:val="24"/>
                <w:rtl w:val="0"/>
              </w:rPr>
              <w:t xml:space="preserve">Activity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30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Welcome and ice-breaker exercise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15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Pathways to Law: SRA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15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Pathways to Law: CILEx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15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BREAK - NOTE: Pre-scheme survey to be completed during break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15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Pathways to Finance: ACCA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15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Pathways to Finance: ICAEW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10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Introduction to SMBP Virtual Coaching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15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aa84f"/>
                <w:sz w:val="24"/>
                <w:szCs w:val="24"/>
                <w:rtl w:val="0"/>
              </w:rPr>
              <w:t xml:space="preserve">BREAK - NOTE: Encourage students to register for Virtual Coaching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20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Dispelling the Myths of University Finance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20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AI and its impact on the future delivery of professional services  </w:t>
            </w:r>
          </w:p>
        </w:tc>
      </w:tr>
      <w:tr>
        <w:trPr>
          <w:trHeight w:val="500" w:hRule="atLeast"/>
        </w:trPr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10 mins</w:t>
            </w:r>
          </w:p>
        </w:tc>
        <w:tc>
          <w:tcPr>
            <w:tcBorders>
              <w:top w:color="f79646" w:space="0" w:sz="4" w:val="single"/>
              <w:bottom w:color="f79646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before="6" w:line="240" w:lineRule="auto"/>
              <w:contextualSpacing w:val="0"/>
              <w:rPr>
                <w:rFonts w:ascii="Calibri" w:cs="Calibri" w:eastAsia="Calibri" w:hAnsi="Calibri"/>
                <w:color w:val="41404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14042"/>
                <w:sz w:val="24"/>
                <w:szCs w:val="24"/>
                <w:rtl w:val="0"/>
              </w:rPr>
              <w:t xml:space="preserve">How to get the most out of the SMBP Work Insight and Skills Week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3"/>
      </w:tabs>
      <w:spacing w:after="280" w:before="720" w:line="240" w:lineRule="auto"/>
      <w:contextualSpacing w:val="0"/>
      <w:jc w:val="center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133725" cy="11239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3372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